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6DA41" w14:textId="3E7699EE" w:rsidR="00000000" w:rsidRDefault="00723E54">
      <w:pPr>
        <w:pStyle w:val="NormalWeb"/>
        <w:jc w:val="center"/>
        <w:outlineLvl w:val="5"/>
        <w:divId w:val="2043431875"/>
        <w:rPr>
          <w:rFonts w:ascii="Calibri" w:hAnsi="Calibri" w:cs="Calibri"/>
          <w:color w:val="000000"/>
          <w:sz w:val="57"/>
          <w:szCs w:val="57"/>
        </w:rPr>
      </w:pPr>
      <w:r>
        <w:rPr>
          <w:rFonts w:ascii="Calibri" w:hAnsi="Calibri" w:cs="Calibri"/>
          <w:color w:val="000000"/>
          <w:sz w:val="57"/>
          <w:szCs w:val="57"/>
        </w:rPr>
        <w:t>M</w:t>
      </w:r>
      <w:r w:rsidR="00000000">
        <w:rPr>
          <w:rFonts w:ascii="Calibri" w:hAnsi="Calibri" w:cs="Calibri"/>
          <w:color w:val="000000"/>
          <w:sz w:val="57"/>
          <w:szCs w:val="57"/>
        </w:rPr>
        <w:t>ontreal Protocol-IS XII</w:t>
      </w:r>
    </w:p>
    <w:p w14:paraId="445FA63C" w14:textId="77777777" w:rsidR="00000000" w:rsidRDefault="00000000">
      <w:pPr>
        <w:pStyle w:val="NormalWeb"/>
        <w:jc w:val="center"/>
        <w:outlineLvl w:val="2"/>
        <w:divId w:val="168302792"/>
        <w:rPr>
          <w:rFonts w:ascii="Calibri" w:hAnsi="Calibri" w:cs="Calibri"/>
          <w:b/>
          <w:bCs/>
          <w:color w:val="0099CC"/>
          <w:sz w:val="33"/>
          <w:szCs w:val="33"/>
        </w:rPr>
      </w:pPr>
      <w:r>
        <w:rPr>
          <w:rFonts w:ascii="Calibri" w:hAnsi="Calibri" w:cs="Calibri"/>
          <w:b/>
          <w:bCs/>
          <w:color w:val="0099CC"/>
          <w:sz w:val="33"/>
          <w:szCs w:val="33"/>
        </w:rPr>
        <w:t xml:space="preserve">B0550 - Georgia - Tbilisi </w:t>
      </w:r>
    </w:p>
    <w:p w14:paraId="24793599" w14:textId="52CDB58E" w:rsidR="00000000" w:rsidRDefault="00000000">
      <w:pPr>
        <w:pStyle w:val="NormalWeb"/>
        <w:jc w:val="center"/>
        <w:outlineLvl w:val="2"/>
        <w:divId w:val="1023939942"/>
        <w:rPr>
          <w:rFonts w:ascii="Calibri" w:hAnsi="Calibri" w:cs="Calibri"/>
          <w:b/>
          <w:bCs/>
          <w:color w:val="0099CC"/>
          <w:sz w:val="33"/>
          <w:szCs w:val="33"/>
        </w:rPr>
      </w:pPr>
      <w:r>
        <w:rPr>
          <w:rFonts w:ascii="Calibri" w:hAnsi="Calibri" w:cs="Calibri"/>
          <w:b/>
          <w:bCs/>
          <w:color w:val="0099CC"/>
          <w:sz w:val="33"/>
          <w:szCs w:val="33"/>
        </w:rPr>
        <w:t>REPORTING PERIOD   202</w:t>
      </w:r>
      <w:r w:rsidR="00EF0552">
        <w:rPr>
          <w:rFonts w:ascii="Calibri" w:hAnsi="Calibri" w:cs="Calibri"/>
          <w:b/>
          <w:bCs/>
          <w:color w:val="0099CC"/>
          <w:sz w:val="33"/>
          <w:szCs w:val="33"/>
        </w:rPr>
        <w:t>5</w:t>
      </w:r>
      <w:r>
        <w:rPr>
          <w:rFonts w:ascii="Calibri" w:hAnsi="Calibri" w:cs="Calibri"/>
          <w:b/>
          <w:bCs/>
          <w:color w:val="0099CC"/>
          <w:sz w:val="33"/>
          <w:szCs w:val="33"/>
        </w:rPr>
        <w:t xml:space="preserve"> </w:t>
      </w:r>
    </w:p>
    <w:p w14:paraId="5909F457" w14:textId="77777777" w:rsidR="00000000" w:rsidRDefault="00000000">
      <w:pPr>
        <w:spacing w:after="240"/>
        <w:rPr>
          <w:rFonts w:eastAsia="Times New Roman"/>
        </w:rPr>
      </w:pPr>
    </w:p>
    <w:p w14:paraId="6DEF8B90" w14:textId="77777777" w:rsidR="00000000" w:rsidRDefault="00000000">
      <w:pPr>
        <w:pStyle w:val="NormalWeb"/>
        <w:jc w:val="center"/>
        <w:outlineLvl w:val="2"/>
        <w:divId w:val="1955599192"/>
        <w:rPr>
          <w:rFonts w:ascii="Calibri" w:hAnsi="Calibri" w:cs="Calibri"/>
          <w:b/>
          <w:bCs/>
          <w:color w:val="0099CC"/>
          <w:sz w:val="33"/>
          <w:szCs w:val="33"/>
        </w:rPr>
      </w:pPr>
      <w:r>
        <w:rPr>
          <w:rFonts w:ascii="Calibri" w:hAnsi="Calibri" w:cs="Calibri"/>
          <w:b/>
          <w:bCs/>
          <w:color w:val="0099CC"/>
          <w:sz w:val="33"/>
          <w:szCs w:val="33"/>
        </w:rPr>
        <w:t>Narrative</w:t>
      </w:r>
    </w:p>
    <w:p w14:paraId="19CA0AFA" w14:textId="77777777" w:rsidR="00000000" w:rsidRDefault="00000000">
      <w:pPr>
        <w:spacing w:after="240"/>
        <w:rPr>
          <w:rFonts w:eastAsia="Times New Roman"/>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p>
    <w:p w14:paraId="7713CF71" w14:textId="77777777" w:rsidR="00000000" w:rsidRDefault="00000000">
      <w:pPr>
        <w:pStyle w:val="NormalWeb"/>
        <w:jc w:val="center"/>
        <w:outlineLvl w:val="6"/>
        <w:divId w:val="1129401548"/>
        <w:rPr>
          <w:rFonts w:ascii="Calibri" w:hAnsi="Calibri" w:cs="Calibri"/>
          <w:color w:val="FF0000"/>
          <w:sz w:val="27"/>
          <w:szCs w:val="27"/>
        </w:rPr>
      </w:pPr>
      <w:r>
        <w:rPr>
          <w:rFonts w:ascii="Calibri" w:hAnsi="Calibri" w:cs="Calibri"/>
          <w:color w:val="FF0000"/>
          <w:sz w:val="27"/>
          <w:szCs w:val="27"/>
        </w:rPr>
        <w:t xml:space="preserve">REPORT DATE: 22-06-2026 </w:t>
      </w:r>
    </w:p>
    <w:p w14:paraId="4E0A0BD9" w14:textId="77777777" w:rsidR="00000000" w:rsidRDefault="00000000">
      <w:pPr>
        <w:pStyle w:val="NormalWeb"/>
      </w:pPr>
      <w:r>
        <w:t> </w:t>
      </w:r>
    </w:p>
    <w:p w14:paraId="72756FF3" w14:textId="77777777" w:rsidR="00000000" w:rsidRDefault="00000000">
      <w:pPr>
        <w:pStyle w:val="NormalWeb"/>
        <w:pageBreakBefore/>
      </w:pPr>
      <w:r>
        <w:lastRenderedPageBreak/>
        <w:t> </w:t>
      </w:r>
    </w:p>
    <w:p w14:paraId="1E54C19A" w14:textId="77777777" w:rsidR="00000000" w:rsidRDefault="00000000">
      <w:pPr>
        <w:pStyle w:val="ex"/>
        <w:numPr>
          <w:ilvl w:val="0"/>
          <w:numId w:val="1"/>
        </w:numPr>
        <w:jc w:val="both"/>
        <w:divId w:val="1992757904"/>
        <w:rPr>
          <w:sz w:val="33"/>
          <w:szCs w:val="33"/>
          <w:u w:val="single"/>
        </w:rPr>
      </w:pPr>
      <w:r>
        <w:rPr>
          <w:sz w:val="33"/>
          <w:szCs w:val="33"/>
          <w:u w:val="single"/>
        </w:rPr>
        <w:t>Executive Summary</w:t>
      </w:r>
    </w:p>
    <w:p w14:paraId="5F3BA41C" w14:textId="37A50F3B" w:rsidR="00D002A7" w:rsidRPr="00D002A7" w:rsidRDefault="00D002A7" w:rsidP="00D002A7">
      <w:pPr>
        <w:pStyle w:val="oj-listview-focused-element"/>
        <w:spacing w:before="0" w:after="0"/>
        <w:ind w:left="720"/>
        <w:jc w:val="both"/>
        <w:divId w:val="1992757904"/>
        <w:rPr>
          <w:rFonts w:eastAsia="Times New Roman"/>
        </w:rPr>
      </w:pPr>
      <w:r w:rsidRPr="00D002A7">
        <w:rPr>
          <w:rFonts w:eastAsia="Times New Roman"/>
        </w:rPr>
        <w:t>XII phase of Institutional strengthening for implementation of the Montreal Protocol (XI phase of IS project) is a 11th phase of enabling activities for Georgia with an overall objective to strengthen Georgia’s capacity in implementing obligations of the Montreal Protocol.</w:t>
      </w:r>
    </w:p>
    <w:p w14:paraId="218CA19E" w14:textId="0E13C1BB" w:rsidR="00D002A7" w:rsidRPr="00D002A7" w:rsidRDefault="00D002A7" w:rsidP="00D002A7">
      <w:pPr>
        <w:pStyle w:val="oj-listview-focused-element"/>
        <w:spacing w:before="0" w:after="0"/>
        <w:ind w:left="720"/>
        <w:jc w:val="both"/>
        <w:divId w:val="1992757904"/>
        <w:rPr>
          <w:rFonts w:eastAsia="Times New Roman"/>
        </w:rPr>
      </w:pPr>
      <w:r w:rsidRPr="00D002A7">
        <w:rPr>
          <w:rFonts w:eastAsia="Times New Roman"/>
        </w:rPr>
        <w:t xml:space="preserve">XII phase of IS project will assist Georgia in: </w:t>
      </w:r>
      <w:proofErr w:type="spellStart"/>
      <w:r w:rsidRPr="00D002A7">
        <w:rPr>
          <w:rFonts w:eastAsia="Times New Roman"/>
        </w:rPr>
        <w:t>i</w:t>
      </w:r>
      <w:proofErr w:type="spellEnd"/>
      <w:r w:rsidRPr="00D002A7">
        <w:rPr>
          <w:rFonts w:eastAsia="Times New Roman"/>
        </w:rPr>
        <w:t>) updating existing legislation on ODS import quota to cover all substances covered by the Montreal Protocol and its amendments ii) improving Electronic Refrigerant Management System (ERMS) to include refrigerants recovery, recycling, and reclamation operations; iii) quality and timely reporting on ODS consumption and phase-out levels; iv) organizing consultations with private sector representatives, including owners of HVAC/R installations, importers, service companies, RAC technicians etc. around new regulations on mandatory leak checks and ERMS; v) organizing information dissemination campaign (including gender dimensions) on the introduction of ERMS and mandatory leak detection through production of promotional and publicity audio-visual and printed materials; vi) building knowledge and capacities of HVAC/R installations, importers, service companies, RAC technicians, and sellers of refrigerants in application of ERMS and environmental inspectors in enforcement of mandatory leak checks and; vii) further strengthening NOU’s internal managerial and external multi-stakeholder coordination and networking capacities, through upgrading NOU’s infrastructure and supporting GoG’s active participation in regional networks, open-ended working group and meetings of parties.</w:t>
      </w:r>
    </w:p>
    <w:p w14:paraId="34940265" w14:textId="77777777" w:rsidR="00000000" w:rsidRDefault="00000000">
      <w:pPr>
        <w:pStyle w:val="ex"/>
        <w:numPr>
          <w:ilvl w:val="0"/>
          <w:numId w:val="2"/>
        </w:numPr>
        <w:jc w:val="both"/>
        <w:divId w:val="1353872202"/>
        <w:rPr>
          <w:sz w:val="33"/>
          <w:szCs w:val="33"/>
          <w:u w:val="single"/>
        </w:rPr>
      </w:pPr>
      <w:r>
        <w:rPr>
          <w:sz w:val="33"/>
          <w:szCs w:val="33"/>
          <w:u w:val="single"/>
        </w:rPr>
        <w:t>Background</w:t>
      </w:r>
    </w:p>
    <w:p w14:paraId="3210DF64" w14:textId="77777777" w:rsidR="007025DA" w:rsidRPr="007025DA" w:rsidRDefault="007025DA" w:rsidP="007025DA">
      <w:pPr>
        <w:pStyle w:val="oj-listview-focused-element"/>
        <w:spacing w:before="0" w:after="0"/>
        <w:ind w:left="720"/>
        <w:jc w:val="both"/>
        <w:rPr>
          <w:rFonts w:eastAsia="Times New Roman"/>
        </w:rPr>
      </w:pPr>
      <w:r w:rsidRPr="007025DA">
        <w:rPr>
          <w:rFonts w:eastAsia="Times New Roman"/>
        </w:rPr>
        <w:t xml:space="preserve">On 21 March 1996, Georgia became a party to the Vienna Convention for the Protection of the Ozone Layer and the Montreal Protocol on Substances that Deplete the Ozone Layer, followed by the ratification of London, Copenhagen, Montreal, Beijing and Kigali amendments to the Protocol by the country. </w:t>
      </w:r>
    </w:p>
    <w:p w14:paraId="4C56D379" w14:textId="77777777" w:rsidR="007025DA" w:rsidRPr="007025DA" w:rsidRDefault="007025DA" w:rsidP="007025DA">
      <w:pPr>
        <w:pStyle w:val="oj-listview-focused-element"/>
        <w:spacing w:before="0" w:after="0"/>
        <w:ind w:left="720"/>
        <w:jc w:val="both"/>
        <w:rPr>
          <w:rFonts w:eastAsia="Times New Roman"/>
        </w:rPr>
      </w:pPr>
      <w:r w:rsidRPr="007025DA">
        <w:rPr>
          <w:rFonts w:eastAsia="Times New Roman"/>
        </w:rPr>
        <w:t xml:space="preserve">Since 2006 the United Nations Environmental </w:t>
      </w:r>
      <w:proofErr w:type="spellStart"/>
      <w:r w:rsidRPr="007025DA">
        <w:rPr>
          <w:rFonts w:eastAsia="Times New Roman"/>
        </w:rPr>
        <w:t>Programme</w:t>
      </w:r>
      <w:proofErr w:type="spellEnd"/>
      <w:r w:rsidRPr="007025DA">
        <w:rPr>
          <w:rFonts w:eastAsia="Times New Roman"/>
        </w:rPr>
        <w:t xml:space="preserve"> for Georgia (UNDP Georgia) has been pro-actively assisting the Government of Georgia (GoG) in fulfilling ODS phase-out obligations. More specifically, jointly with the Ministry of Environmental Protection and Agriculture (MEPA), it has been carrying out the Institutional Strengthening (IS) </w:t>
      </w:r>
      <w:proofErr w:type="spellStart"/>
      <w:r w:rsidRPr="007025DA">
        <w:rPr>
          <w:rFonts w:eastAsia="Times New Roman"/>
        </w:rPr>
        <w:t>programme</w:t>
      </w:r>
      <w:proofErr w:type="spellEnd"/>
      <w:r w:rsidRPr="007025DA">
        <w:rPr>
          <w:rFonts w:eastAsia="Times New Roman"/>
        </w:rPr>
        <w:t xml:space="preserve"> for the Implementation of the Montreal Protocol. The IS supports the GoG in meeting its obligations under the Montreal Protocol of the Vienna Convection, through implementing </w:t>
      </w:r>
      <w:proofErr w:type="gramStart"/>
      <w:r w:rsidRPr="007025DA">
        <w:rPr>
          <w:rFonts w:eastAsia="Times New Roman"/>
        </w:rPr>
        <w:t>a number of</w:t>
      </w:r>
      <w:proofErr w:type="gramEnd"/>
      <w:r w:rsidRPr="007025DA">
        <w:rPr>
          <w:rFonts w:eastAsia="Times New Roman"/>
        </w:rPr>
        <w:t xml:space="preserve"> horizontal and specific measures, including legal-regulatory and policy, institutional strengthening (IS)/capacity building (CB), public awareness, coordination, networking and regional and global cooperation.</w:t>
      </w:r>
    </w:p>
    <w:p w14:paraId="2D2CA12D" w14:textId="39FBA21F" w:rsidR="00000000" w:rsidRDefault="007025DA" w:rsidP="007025DA">
      <w:pPr>
        <w:pStyle w:val="oj-listview-focused-element"/>
        <w:spacing w:before="0" w:after="0"/>
        <w:ind w:left="720"/>
        <w:jc w:val="both"/>
        <w:rPr>
          <w:rFonts w:eastAsia="Times New Roman"/>
        </w:rPr>
      </w:pPr>
      <w:r w:rsidRPr="007025DA">
        <w:rPr>
          <w:rFonts w:eastAsia="Times New Roman"/>
        </w:rPr>
        <w:t xml:space="preserve">11 phases of IS </w:t>
      </w:r>
      <w:proofErr w:type="spellStart"/>
      <w:r w:rsidRPr="007025DA">
        <w:rPr>
          <w:rFonts w:eastAsia="Times New Roman"/>
        </w:rPr>
        <w:t>Programme</w:t>
      </w:r>
      <w:proofErr w:type="spellEnd"/>
      <w:r w:rsidRPr="007025DA">
        <w:rPr>
          <w:rFonts w:eastAsia="Times New Roman"/>
        </w:rPr>
        <w:t xml:space="preserve"> have been already </w:t>
      </w:r>
      <w:proofErr w:type="gramStart"/>
      <w:r w:rsidRPr="007025DA">
        <w:rPr>
          <w:rFonts w:eastAsia="Times New Roman"/>
        </w:rPr>
        <w:t>accomplished</w:t>
      </w:r>
      <w:proofErr w:type="gramEnd"/>
      <w:r w:rsidRPr="007025DA">
        <w:rPr>
          <w:rFonts w:eastAsia="Times New Roman"/>
        </w:rPr>
        <w:t xml:space="preserve"> and the 12th phase will be completed by the end of June 2026.  </w:t>
      </w:r>
    </w:p>
    <w:p w14:paraId="243015F0" w14:textId="77777777" w:rsidR="00000000" w:rsidRDefault="00000000">
      <w:pPr>
        <w:pStyle w:val="ex"/>
        <w:numPr>
          <w:ilvl w:val="0"/>
          <w:numId w:val="3"/>
        </w:numPr>
        <w:jc w:val="both"/>
        <w:divId w:val="816262507"/>
        <w:rPr>
          <w:sz w:val="33"/>
          <w:szCs w:val="33"/>
          <w:u w:val="single"/>
        </w:rPr>
      </w:pPr>
      <w:r>
        <w:rPr>
          <w:sz w:val="33"/>
          <w:szCs w:val="33"/>
          <w:u w:val="single"/>
        </w:rPr>
        <w:lastRenderedPageBreak/>
        <w:t>Key Results Achieved</w:t>
      </w:r>
    </w:p>
    <w:p w14:paraId="63C662D0" w14:textId="77777777" w:rsidR="00000000" w:rsidRDefault="00000000">
      <w:pPr>
        <w:jc w:val="both"/>
        <w:divId w:val="1574975006"/>
        <w:rPr>
          <w:rFonts w:eastAsia="Times New Roman"/>
        </w:rPr>
      </w:pPr>
      <w:r>
        <w:rPr>
          <w:rFonts w:eastAsia="Times New Roman"/>
        </w:rPr>
        <w:t> </w:t>
      </w:r>
    </w:p>
    <w:p w14:paraId="567E7B59" w14:textId="77777777" w:rsidR="00000000" w:rsidRDefault="00000000">
      <w:pPr>
        <w:pStyle w:val="Heading4"/>
        <w:ind w:left="720"/>
        <w:jc w:val="both"/>
        <w:divId w:val="1688367909"/>
        <w:rPr>
          <w:rFonts w:eastAsia="Times New Roman"/>
          <w:sz w:val="23"/>
          <w:szCs w:val="23"/>
        </w:rPr>
      </w:pPr>
      <w:r>
        <w:rPr>
          <w:rFonts w:eastAsia="Times New Roman"/>
          <w:sz w:val="23"/>
          <w:szCs w:val="23"/>
        </w:rPr>
        <w:t xml:space="preserve">Progress Note: </w:t>
      </w:r>
    </w:p>
    <w:p w14:paraId="4D4EE577" w14:textId="77777777" w:rsidR="00000000" w:rsidRDefault="00000000">
      <w:pPr>
        <w:pStyle w:val="oj-listview-focused-element"/>
        <w:spacing w:before="0" w:after="0"/>
        <w:ind w:left="720"/>
        <w:jc w:val="both"/>
        <w:divId w:val="1867868487"/>
        <w:rPr>
          <w:rFonts w:eastAsia="Times New Roman"/>
        </w:rPr>
      </w:pPr>
      <w:r>
        <w:rPr>
          <w:rFonts w:eastAsia="Times New Roman"/>
        </w:rPr>
        <w:t xml:space="preserve">Green Public Procurement recommendations for environmentally friendly RAC systems were developed in close coordination with stakeholders and the State Procurement Agency, </w:t>
      </w:r>
      <w:proofErr w:type="gramStart"/>
      <w:r>
        <w:rPr>
          <w:rFonts w:eastAsia="Times New Roman"/>
        </w:rPr>
        <w:t>taking into account</w:t>
      </w:r>
      <w:proofErr w:type="gramEnd"/>
      <w:r>
        <w:rPr>
          <w:rFonts w:eastAsia="Times New Roman"/>
        </w:rPr>
        <w:t xml:space="preserve"> limited domestic availability and high international costs of such equipment. Although issued as recommendations, they are published on the Agency’s official website and are applied by state institutions in procurement processes. Georgia also strengthened refrigerant management through Kigali Amendment ratification, new legislation, mandatory leak checks, ERMS introduction, and Decree No. 376 banning imports of second-hand ODS-based equipment. Capacity-building activities trained customs officers, environmental inspectors, RAC technicians and ERMS users, while demonstration projects on low-GWP technologies and enforcement support are ongoing. </w:t>
      </w:r>
    </w:p>
    <w:p w14:paraId="3285A085" w14:textId="77777777" w:rsidR="00000000" w:rsidRDefault="00000000">
      <w:pPr>
        <w:jc w:val="both"/>
        <w:divId w:val="212153600"/>
        <w:rPr>
          <w:rFonts w:eastAsia="Times New Roman"/>
        </w:rPr>
      </w:pPr>
    </w:p>
    <w:p w14:paraId="4B6BCDA1" w14:textId="77777777" w:rsidR="00000000" w:rsidRDefault="00000000">
      <w:pPr>
        <w:pStyle w:val="ex"/>
        <w:numPr>
          <w:ilvl w:val="0"/>
          <w:numId w:val="5"/>
        </w:numPr>
        <w:jc w:val="both"/>
        <w:divId w:val="349110935"/>
        <w:rPr>
          <w:sz w:val="33"/>
          <w:szCs w:val="33"/>
          <w:u w:val="single"/>
        </w:rPr>
      </w:pPr>
      <w:r>
        <w:rPr>
          <w:sz w:val="33"/>
          <w:szCs w:val="33"/>
          <w:u w:val="single"/>
        </w:rPr>
        <w:t>Key Challenges Encountered</w:t>
      </w:r>
    </w:p>
    <w:p w14:paraId="01BC85FD" w14:textId="77777777" w:rsidR="00000000" w:rsidRDefault="00000000">
      <w:pPr>
        <w:jc w:val="both"/>
        <w:divId w:val="32120966"/>
        <w:rPr>
          <w:rFonts w:eastAsia="Times New Roman"/>
        </w:rPr>
      </w:pPr>
      <w:r>
        <w:rPr>
          <w:rFonts w:eastAsia="Times New Roman"/>
        </w:rPr>
        <w:t> </w:t>
      </w:r>
    </w:p>
    <w:p w14:paraId="3E8479E8" w14:textId="77777777" w:rsidR="00000000" w:rsidRDefault="00000000">
      <w:pPr>
        <w:pStyle w:val="Heading4"/>
        <w:ind w:left="720"/>
        <w:jc w:val="both"/>
        <w:divId w:val="1743990598"/>
        <w:rPr>
          <w:rFonts w:eastAsia="Times New Roman"/>
          <w:sz w:val="23"/>
          <w:szCs w:val="23"/>
        </w:rPr>
      </w:pPr>
      <w:r>
        <w:rPr>
          <w:rFonts w:eastAsia="Times New Roman"/>
          <w:sz w:val="23"/>
          <w:szCs w:val="23"/>
        </w:rPr>
        <w:t xml:space="preserve">Progress Note: </w:t>
      </w:r>
    </w:p>
    <w:p w14:paraId="7B45A028" w14:textId="77777777" w:rsidR="00000000" w:rsidRDefault="00000000">
      <w:pPr>
        <w:pStyle w:val="oj-listview-focused-element"/>
        <w:spacing w:before="0" w:after="0"/>
        <w:ind w:left="720"/>
        <w:jc w:val="both"/>
        <w:divId w:val="721096748"/>
        <w:rPr>
          <w:rFonts w:eastAsia="Times New Roman"/>
        </w:rPr>
      </w:pPr>
      <w:r>
        <w:rPr>
          <w:rFonts w:eastAsia="Times New Roman"/>
        </w:rPr>
        <w:t xml:space="preserve">Key challenges encountered during the reporting period included limited willingness and capacity among government counterparts to advance legal amendments regulating all Montreal Protocol substances, as well as insufficient cross-agency coordination on cross-cutting issues </w:t>
      </w:r>
    </w:p>
    <w:p w14:paraId="085D3127" w14:textId="77777777" w:rsidR="00000000" w:rsidRDefault="00000000">
      <w:pPr>
        <w:jc w:val="both"/>
        <w:divId w:val="212153600"/>
        <w:rPr>
          <w:rFonts w:eastAsia="Times New Roman"/>
        </w:rPr>
      </w:pPr>
    </w:p>
    <w:p w14:paraId="7A335891" w14:textId="77777777" w:rsidR="00000000" w:rsidRDefault="00000000">
      <w:pPr>
        <w:pStyle w:val="ex"/>
        <w:numPr>
          <w:ilvl w:val="0"/>
          <w:numId w:val="7"/>
        </w:numPr>
        <w:jc w:val="both"/>
        <w:divId w:val="1555311632"/>
        <w:rPr>
          <w:sz w:val="33"/>
          <w:szCs w:val="33"/>
          <w:u w:val="single"/>
        </w:rPr>
      </w:pPr>
      <w:r>
        <w:rPr>
          <w:sz w:val="33"/>
          <w:szCs w:val="33"/>
          <w:u w:val="single"/>
        </w:rPr>
        <w:t>Project Risks and Issues</w:t>
      </w:r>
    </w:p>
    <w:p w14:paraId="1ED9A3BF" w14:textId="47FA58E9" w:rsidR="00000000" w:rsidRDefault="00723E54">
      <w:pPr>
        <w:jc w:val="both"/>
        <w:divId w:val="849680704"/>
        <w:rPr>
          <w:rFonts w:eastAsia="Times New Roman"/>
        </w:rPr>
      </w:pPr>
      <w:r>
        <w:rPr>
          <w:rFonts w:eastAsia="Times New Roman"/>
        </w:rPr>
        <w:t xml:space="preserve">         </w:t>
      </w:r>
      <w:r w:rsidR="00000000">
        <w:rPr>
          <w:rFonts w:eastAsia="Times New Roman"/>
        </w:rPr>
        <w:t xml:space="preserve">GoG’s low willingness to develop legal amendments to regulate all MP substances Cross-agency cooperation on cross-cutting issues is low </w:t>
      </w:r>
    </w:p>
    <w:p w14:paraId="1E6B8D9C" w14:textId="77777777" w:rsidR="00000000" w:rsidRDefault="00000000">
      <w:pPr>
        <w:jc w:val="both"/>
        <w:divId w:val="212153600"/>
        <w:rPr>
          <w:rFonts w:eastAsia="Times New Roman"/>
        </w:rPr>
      </w:pPr>
    </w:p>
    <w:p w14:paraId="1F246E7E" w14:textId="77777777" w:rsidR="00000000" w:rsidRDefault="00000000">
      <w:pPr>
        <w:pStyle w:val="ex"/>
        <w:numPr>
          <w:ilvl w:val="0"/>
          <w:numId w:val="8"/>
        </w:numPr>
        <w:jc w:val="both"/>
        <w:divId w:val="1537696006"/>
        <w:rPr>
          <w:sz w:val="33"/>
          <w:szCs w:val="33"/>
          <w:u w:val="single"/>
        </w:rPr>
      </w:pPr>
      <w:r>
        <w:rPr>
          <w:sz w:val="33"/>
          <w:szCs w:val="33"/>
          <w:u w:val="single"/>
        </w:rPr>
        <w:t>Lessons Learned</w:t>
      </w:r>
    </w:p>
    <w:p w14:paraId="53AFA2ED" w14:textId="77777777" w:rsidR="00000000" w:rsidRDefault="00000000">
      <w:pPr>
        <w:jc w:val="both"/>
        <w:divId w:val="848175218"/>
        <w:rPr>
          <w:rFonts w:eastAsia="Times New Roman"/>
        </w:rPr>
      </w:pPr>
      <w:r>
        <w:rPr>
          <w:rFonts w:eastAsia="Times New Roman"/>
        </w:rPr>
        <w:t> </w:t>
      </w:r>
    </w:p>
    <w:p w14:paraId="140A3F0F" w14:textId="77777777" w:rsidR="00000000" w:rsidRDefault="00000000">
      <w:pPr>
        <w:pStyle w:val="oj-listview-focused-element"/>
        <w:numPr>
          <w:ilvl w:val="0"/>
          <w:numId w:val="9"/>
        </w:numPr>
        <w:jc w:val="both"/>
        <w:divId w:val="1333216937"/>
        <w:rPr>
          <w:rFonts w:eastAsia="Times New Roman"/>
        </w:rPr>
      </w:pPr>
      <w:r>
        <w:rPr>
          <w:rFonts w:eastAsia="Times New Roman"/>
        </w:rPr>
        <w:t xml:space="preserve">Lessons learned show that early and continuous consultations with the National Ozone Office, MEPA’s legal department and other relevant government entities are essential for </w:t>
      </w:r>
      <w:r>
        <w:rPr>
          <w:rFonts w:eastAsia="Times New Roman"/>
        </w:rPr>
        <w:lastRenderedPageBreak/>
        <w:t xml:space="preserve">supporting the development and advancement of draft regulations. Strong leadership by the National Ozone Office through the Project Board is important to improve cross-agency cooperation and address cross-cutting issues in a coordinated manner. </w:t>
      </w:r>
    </w:p>
    <w:p w14:paraId="58EF373F" w14:textId="77777777" w:rsidR="00000000" w:rsidRDefault="00000000">
      <w:pPr>
        <w:jc w:val="both"/>
        <w:divId w:val="2014333253"/>
        <w:rPr>
          <w:rFonts w:eastAsia="Times New Roman"/>
        </w:rPr>
      </w:pPr>
    </w:p>
    <w:p w14:paraId="6C274FFD" w14:textId="77777777" w:rsidR="00000000" w:rsidRDefault="00000000">
      <w:pPr>
        <w:pStyle w:val="ex"/>
        <w:numPr>
          <w:ilvl w:val="0"/>
          <w:numId w:val="10"/>
        </w:numPr>
        <w:jc w:val="both"/>
        <w:divId w:val="569534332"/>
        <w:rPr>
          <w:sz w:val="33"/>
          <w:szCs w:val="33"/>
          <w:u w:val="single"/>
        </w:rPr>
      </w:pPr>
      <w:r>
        <w:rPr>
          <w:sz w:val="33"/>
          <w:szCs w:val="33"/>
          <w:u w:val="single"/>
        </w:rPr>
        <w:t>Conclusions and Way Forward</w:t>
      </w:r>
    </w:p>
    <w:p w14:paraId="3B349086" w14:textId="77777777" w:rsidR="00000000" w:rsidRDefault="00000000">
      <w:pPr>
        <w:jc w:val="both"/>
        <w:divId w:val="929852168"/>
        <w:rPr>
          <w:rFonts w:eastAsia="Times New Roman"/>
        </w:rPr>
      </w:pPr>
      <w:r>
        <w:rPr>
          <w:rFonts w:eastAsia="Times New Roman"/>
        </w:rPr>
        <w:t xml:space="preserve">Project is on track. Project risks are </w:t>
      </w:r>
      <w:proofErr w:type="gramStart"/>
      <w:r>
        <w:rPr>
          <w:rFonts w:eastAsia="Times New Roman"/>
        </w:rPr>
        <w:t>monitored</w:t>
      </w:r>
      <w:proofErr w:type="gramEnd"/>
      <w:r>
        <w:rPr>
          <w:rFonts w:eastAsia="Times New Roman"/>
        </w:rPr>
        <w:t xml:space="preserve"> and mitigation measures are in place. </w:t>
      </w:r>
    </w:p>
    <w:p w14:paraId="6A994902" w14:textId="77777777" w:rsidR="00594B7E" w:rsidRDefault="00594B7E">
      <w:pPr>
        <w:jc w:val="both"/>
        <w:divId w:val="2014333253"/>
        <w:rPr>
          <w:rFonts w:eastAsia="Times New Roman"/>
        </w:rPr>
      </w:pPr>
    </w:p>
    <w:sectPr w:rsidR="00594B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527C4"/>
    <w:multiLevelType w:val="multilevel"/>
    <w:tmpl w:val="A9BE5A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FA3693"/>
    <w:multiLevelType w:val="multilevel"/>
    <w:tmpl w:val="AF86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8612EF"/>
    <w:multiLevelType w:val="multilevel"/>
    <w:tmpl w:val="247AE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DD2A5C"/>
    <w:multiLevelType w:val="multilevel"/>
    <w:tmpl w:val="9F760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0D4DA2"/>
    <w:multiLevelType w:val="multilevel"/>
    <w:tmpl w:val="0AE6835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B0180D"/>
    <w:multiLevelType w:val="multilevel"/>
    <w:tmpl w:val="A7085E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F22C28"/>
    <w:multiLevelType w:val="multilevel"/>
    <w:tmpl w:val="8BF84E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216A0C"/>
    <w:multiLevelType w:val="multilevel"/>
    <w:tmpl w:val="292AB6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3607B5"/>
    <w:multiLevelType w:val="multilevel"/>
    <w:tmpl w:val="9FD63F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823224"/>
    <w:multiLevelType w:val="multilevel"/>
    <w:tmpl w:val="A8AE91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5A76A9"/>
    <w:multiLevelType w:val="multilevel"/>
    <w:tmpl w:val="F3ACAA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470C4E"/>
    <w:multiLevelType w:val="multilevel"/>
    <w:tmpl w:val="7D882D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5098129">
    <w:abstractNumId w:val="2"/>
  </w:num>
  <w:num w:numId="2" w16cid:durableId="1561673176">
    <w:abstractNumId w:val="6"/>
  </w:num>
  <w:num w:numId="3" w16cid:durableId="937174793">
    <w:abstractNumId w:val="11"/>
  </w:num>
  <w:num w:numId="4" w16cid:durableId="813528723">
    <w:abstractNumId w:val="5"/>
  </w:num>
  <w:num w:numId="5" w16cid:durableId="1151603589">
    <w:abstractNumId w:val="7"/>
  </w:num>
  <w:num w:numId="6" w16cid:durableId="71464408">
    <w:abstractNumId w:val="9"/>
  </w:num>
  <w:num w:numId="7" w16cid:durableId="915282577">
    <w:abstractNumId w:val="0"/>
  </w:num>
  <w:num w:numId="8" w16cid:durableId="869295309">
    <w:abstractNumId w:val="8"/>
  </w:num>
  <w:num w:numId="9" w16cid:durableId="66346158">
    <w:abstractNumId w:val="3"/>
  </w:num>
  <w:num w:numId="10" w16cid:durableId="383212020">
    <w:abstractNumId w:val="10"/>
  </w:num>
  <w:num w:numId="11" w16cid:durableId="1927882497">
    <w:abstractNumId w:val="4"/>
  </w:num>
  <w:num w:numId="12" w16cid:durableId="18486700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23E54"/>
    <w:rsid w:val="00421265"/>
    <w:rsid w:val="00594B7E"/>
    <w:rsid w:val="007025DA"/>
    <w:rsid w:val="00723E54"/>
    <w:rsid w:val="00D002A7"/>
    <w:rsid w:val="00EF0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AB09E"/>
  <w15:chartTrackingRefBased/>
  <w15:docId w15:val="{4994AE8B-7D3D-470B-A687-A04A4BCEA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Calibri" w:hAnsi="Calibri" w:cs="Calibri"/>
      <w:b/>
      <w:bCs/>
      <w:color w:val="000000"/>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Calibri" w:hAnsi="Calibri" w:cs="Calibri"/>
      <w:b/>
      <w:bCs/>
      <w:color w:val="0099CC"/>
      <w:sz w:val="36"/>
      <w:szCs w:val="36"/>
    </w:rPr>
  </w:style>
  <w:style w:type="paragraph" w:styleId="Heading4">
    <w:name w:val="heading 4"/>
    <w:basedOn w:val="Normal"/>
    <w:link w:val="Heading4Char"/>
    <w:uiPriority w:val="9"/>
    <w:qFormat/>
    <w:pPr>
      <w:spacing w:before="100" w:beforeAutospacing="1" w:after="100" w:afterAutospacing="1"/>
      <w:outlineLvl w:val="3"/>
    </w:pPr>
    <w:rPr>
      <w:rFonts w:ascii="Calibri" w:hAnsi="Calibri" w:cs="Calibri"/>
      <w:b/>
      <w:bCs/>
      <w:color w:val="000000"/>
    </w:rPr>
  </w:style>
  <w:style w:type="paragraph" w:styleId="Heading5">
    <w:name w:val="heading 5"/>
    <w:basedOn w:val="Normal"/>
    <w:link w:val="Heading5Char"/>
    <w:uiPriority w:val="9"/>
    <w:qFormat/>
    <w:pPr>
      <w:spacing w:before="100" w:beforeAutospacing="1" w:after="100" w:afterAutospacing="1"/>
      <w:outlineLvl w:val="4"/>
    </w:pPr>
    <w:rPr>
      <w:rFonts w:ascii="Calibri" w:hAnsi="Calibri" w:cs="Calibri"/>
      <w:color w:val="000000"/>
      <w:sz w:val="20"/>
      <w:szCs w:val="20"/>
    </w:rPr>
  </w:style>
  <w:style w:type="paragraph" w:styleId="Heading6">
    <w:name w:val="heading 6"/>
    <w:basedOn w:val="Normal"/>
    <w:link w:val="Heading6Char"/>
    <w:uiPriority w:val="9"/>
    <w:qFormat/>
    <w:pPr>
      <w:spacing w:before="100" w:beforeAutospacing="1" w:after="100" w:afterAutospacing="1"/>
      <w:outlineLvl w:val="5"/>
    </w:pPr>
    <w:rPr>
      <w:rFonts w:ascii="Calibri" w:hAnsi="Calibri" w:cs="Calibri"/>
      <w:color w:val="FF0000"/>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4"/>
      <w:szCs w:val="24"/>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4"/>
      <w:szCs w:val="24"/>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4"/>
      <w:szCs w:val="24"/>
    </w:rPr>
  </w:style>
  <w:style w:type="paragraph" w:customStyle="1" w:styleId="ex">
    <w:name w:val="ex"/>
    <w:basedOn w:val="Normal"/>
    <w:pPr>
      <w:spacing w:before="100" w:beforeAutospacing="1" w:after="100" w:afterAutospacing="1"/>
    </w:pPr>
    <w:rPr>
      <w:rFonts w:ascii="Calibri" w:hAnsi="Calibri" w:cs="Calibri"/>
      <w:b/>
      <w:bCs/>
      <w:color w:val="1F4E79"/>
    </w:rPr>
  </w:style>
  <w:style w:type="paragraph" w:styleId="NormalWeb">
    <w:name w:val="Normal (Web)"/>
    <w:basedOn w:val="Normal"/>
    <w:uiPriority w:val="99"/>
    <w:semiHidden/>
    <w:unhideWhenUsed/>
    <w:pPr>
      <w:spacing w:before="100" w:beforeAutospacing="1" w:after="100" w:afterAutospacing="1"/>
    </w:pPr>
  </w:style>
  <w:style w:type="paragraph" w:customStyle="1" w:styleId="oj-listview-focused-element">
    <w:name w:val="oj-listview-focused-element"/>
    <w:basedOn w:val="Normal"/>
    <w:pPr>
      <w:spacing w:before="100" w:beforeAutospacing="1" w:after="100" w:afterAutospacing="1"/>
    </w:pPr>
  </w:style>
  <w:style w:type="paragraph" w:customStyle="1" w:styleId="oj-listview-skeleton-container">
    <w:name w:val="oj-listview-skeleton-container"/>
    <w:basedOn w:val="Normal"/>
    <w:pPr>
      <w:spacing w:before="100" w:beforeAutospacing="1" w:after="100" w:afterAutospacing="1"/>
    </w:pPr>
  </w:style>
  <w:style w:type="paragraph" w:customStyle="1" w:styleId="oj-listview-item">
    <w:name w:val="oj-listview-item"/>
    <w:basedOn w:val="Normal"/>
    <w:pPr>
      <w:spacing w:before="100" w:beforeAutospacing="1" w:after="100" w:afterAutospacing="1"/>
    </w:pPr>
  </w:style>
  <w:style w:type="paragraph" w:customStyle="1" w:styleId="oj-listview-no-data-item">
    <w:name w:val="oj-listview-no-data-item"/>
    <w:basedOn w:val="Normal"/>
    <w:pPr>
      <w:spacing w:before="100" w:beforeAutospacing="1" w:after="100" w:afterAutospacing="1"/>
    </w:pPr>
  </w:style>
  <w:style w:type="character" w:customStyle="1" w:styleId="oj-listview-no-data-cell-element">
    <w:name w:val="oj-listview-no-data-cell-elemen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53600">
      <w:marLeft w:val="0"/>
      <w:marRight w:val="0"/>
      <w:marTop w:val="0"/>
      <w:marBottom w:val="0"/>
      <w:divBdr>
        <w:top w:val="none" w:sz="0" w:space="0" w:color="auto"/>
        <w:left w:val="none" w:sz="0" w:space="0" w:color="auto"/>
        <w:bottom w:val="none" w:sz="0" w:space="0" w:color="auto"/>
        <w:right w:val="none" w:sz="0" w:space="0" w:color="auto"/>
      </w:divBdr>
      <w:divsChild>
        <w:div w:id="868418715">
          <w:marLeft w:val="0"/>
          <w:marRight w:val="0"/>
          <w:marTop w:val="0"/>
          <w:marBottom w:val="0"/>
          <w:divBdr>
            <w:top w:val="none" w:sz="0" w:space="0" w:color="auto"/>
            <w:left w:val="none" w:sz="0" w:space="0" w:color="auto"/>
            <w:bottom w:val="none" w:sz="0" w:space="0" w:color="auto"/>
            <w:right w:val="none" w:sz="0" w:space="0" w:color="auto"/>
          </w:divBdr>
          <w:divsChild>
            <w:div w:id="990140478">
              <w:marLeft w:val="0"/>
              <w:marRight w:val="0"/>
              <w:marTop w:val="0"/>
              <w:marBottom w:val="0"/>
              <w:divBdr>
                <w:top w:val="none" w:sz="0" w:space="0" w:color="auto"/>
                <w:left w:val="none" w:sz="0" w:space="0" w:color="auto"/>
                <w:bottom w:val="none" w:sz="0" w:space="0" w:color="auto"/>
                <w:right w:val="none" w:sz="0" w:space="0" w:color="auto"/>
              </w:divBdr>
              <w:divsChild>
                <w:div w:id="29041641">
                  <w:marLeft w:val="0"/>
                  <w:marRight w:val="0"/>
                  <w:marTop w:val="0"/>
                  <w:marBottom w:val="0"/>
                  <w:divBdr>
                    <w:top w:val="none" w:sz="0" w:space="0" w:color="auto"/>
                    <w:left w:val="none" w:sz="0" w:space="0" w:color="auto"/>
                    <w:bottom w:val="none" w:sz="0" w:space="0" w:color="auto"/>
                    <w:right w:val="none" w:sz="0" w:space="0" w:color="auto"/>
                  </w:divBdr>
                  <w:divsChild>
                    <w:div w:id="81626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79843">
              <w:marLeft w:val="0"/>
              <w:marRight w:val="0"/>
              <w:marTop w:val="0"/>
              <w:marBottom w:val="0"/>
              <w:divBdr>
                <w:top w:val="none" w:sz="0" w:space="0" w:color="auto"/>
                <w:left w:val="none" w:sz="0" w:space="0" w:color="auto"/>
                <w:bottom w:val="none" w:sz="0" w:space="0" w:color="auto"/>
                <w:right w:val="none" w:sz="0" w:space="0" w:color="auto"/>
              </w:divBdr>
              <w:divsChild>
                <w:div w:id="1574975006">
                  <w:marLeft w:val="0"/>
                  <w:marRight w:val="0"/>
                  <w:marTop w:val="0"/>
                  <w:marBottom w:val="0"/>
                  <w:divBdr>
                    <w:top w:val="none" w:sz="0" w:space="0" w:color="auto"/>
                    <w:left w:val="none" w:sz="0" w:space="0" w:color="auto"/>
                    <w:bottom w:val="none" w:sz="0" w:space="0" w:color="auto"/>
                    <w:right w:val="none" w:sz="0" w:space="0" w:color="auto"/>
                  </w:divBdr>
                </w:div>
                <w:div w:id="1413353180">
                  <w:marLeft w:val="0"/>
                  <w:marRight w:val="0"/>
                  <w:marTop w:val="0"/>
                  <w:marBottom w:val="0"/>
                  <w:divBdr>
                    <w:top w:val="none" w:sz="0" w:space="0" w:color="auto"/>
                    <w:left w:val="none" w:sz="0" w:space="0" w:color="auto"/>
                    <w:bottom w:val="none" w:sz="0" w:space="0" w:color="auto"/>
                    <w:right w:val="none" w:sz="0" w:space="0" w:color="auto"/>
                  </w:divBdr>
                  <w:divsChild>
                    <w:div w:id="517620658">
                      <w:marLeft w:val="0"/>
                      <w:marRight w:val="0"/>
                      <w:marTop w:val="0"/>
                      <w:marBottom w:val="0"/>
                      <w:divBdr>
                        <w:top w:val="none" w:sz="0" w:space="0" w:color="auto"/>
                        <w:left w:val="none" w:sz="0" w:space="0" w:color="auto"/>
                        <w:bottom w:val="none" w:sz="0" w:space="0" w:color="auto"/>
                        <w:right w:val="none" w:sz="0" w:space="0" w:color="auto"/>
                      </w:divBdr>
                      <w:divsChild>
                        <w:div w:id="1467698415">
                          <w:marLeft w:val="0"/>
                          <w:marRight w:val="0"/>
                          <w:marTop w:val="0"/>
                          <w:marBottom w:val="0"/>
                          <w:divBdr>
                            <w:top w:val="none" w:sz="0" w:space="0" w:color="auto"/>
                            <w:left w:val="none" w:sz="0" w:space="0" w:color="auto"/>
                            <w:bottom w:val="none" w:sz="0" w:space="0" w:color="auto"/>
                            <w:right w:val="none" w:sz="0" w:space="0" w:color="auto"/>
                          </w:divBdr>
                          <w:divsChild>
                            <w:div w:id="9679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945531">
                      <w:marLeft w:val="0"/>
                      <w:marRight w:val="0"/>
                      <w:marTop w:val="0"/>
                      <w:marBottom w:val="0"/>
                      <w:divBdr>
                        <w:top w:val="none" w:sz="0" w:space="0" w:color="auto"/>
                        <w:left w:val="none" w:sz="0" w:space="0" w:color="auto"/>
                        <w:bottom w:val="none" w:sz="0" w:space="0" w:color="auto"/>
                        <w:right w:val="none" w:sz="0" w:space="0" w:color="auto"/>
                      </w:divBdr>
                      <w:divsChild>
                        <w:div w:id="580531633">
                          <w:marLeft w:val="0"/>
                          <w:marRight w:val="0"/>
                          <w:marTop w:val="0"/>
                          <w:marBottom w:val="0"/>
                          <w:divBdr>
                            <w:top w:val="none" w:sz="0" w:space="0" w:color="auto"/>
                            <w:left w:val="none" w:sz="0" w:space="0" w:color="auto"/>
                            <w:bottom w:val="none" w:sz="0" w:space="0" w:color="auto"/>
                            <w:right w:val="none" w:sz="0" w:space="0" w:color="auto"/>
                          </w:divBdr>
                          <w:divsChild>
                            <w:div w:id="59791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3542">
                      <w:marLeft w:val="0"/>
                      <w:marRight w:val="0"/>
                      <w:marTop w:val="0"/>
                      <w:marBottom w:val="0"/>
                      <w:divBdr>
                        <w:top w:val="none" w:sz="0" w:space="0" w:color="auto"/>
                        <w:left w:val="none" w:sz="0" w:space="0" w:color="auto"/>
                        <w:bottom w:val="none" w:sz="0" w:space="0" w:color="auto"/>
                        <w:right w:val="none" w:sz="0" w:space="0" w:color="auto"/>
                      </w:divBdr>
                      <w:divsChild>
                        <w:div w:id="230501386">
                          <w:marLeft w:val="0"/>
                          <w:marRight w:val="0"/>
                          <w:marTop w:val="0"/>
                          <w:marBottom w:val="0"/>
                          <w:divBdr>
                            <w:top w:val="none" w:sz="0" w:space="0" w:color="auto"/>
                            <w:left w:val="none" w:sz="0" w:space="0" w:color="auto"/>
                            <w:bottom w:val="none" w:sz="0" w:space="0" w:color="auto"/>
                            <w:right w:val="none" w:sz="0" w:space="0" w:color="auto"/>
                          </w:divBdr>
                          <w:divsChild>
                            <w:div w:id="52417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2445">
                      <w:marLeft w:val="0"/>
                      <w:marRight w:val="0"/>
                      <w:marTop w:val="0"/>
                      <w:marBottom w:val="0"/>
                      <w:divBdr>
                        <w:top w:val="none" w:sz="0" w:space="0" w:color="auto"/>
                        <w:left w:val="none" w:sz="0" w:space="0" w:color="auto"/>
                        <w:bottom w:val="none" w:sz="0" w:space="0" w:color="auto"/>
                        <w:right w:val="none" w:sz="0" w:space="0" w:color="auto"/>
                      </w:divBdr>
                      <w:divsChild>
                        <w:div w:id="1867868487">
                          <w:marLeft w:val="0"/>
                          <w:marRight w:val="0"/>
                          <w:marTop w:val="0"/>
                          <w:marBottom w:val="0"/>
                          <w:divBdr>
                            <w:top w:val="none" w:sz="0" w:space="0" w:color="auto"/>
                            <w:left w:val="none" w:sz="0" w:space="0" w:color="auto"/>
                            <w:bottom w:val="none" w:sz="0" w:space="0" w:color="auto"/>
                            <w:right w:val="none" w:sz="0" w:space="0" w:color="auto"/>
                          </w:divBdr>
                          <w:divsChild>
                            <w:div w:id="168836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25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541757">
          <w:marLeft w:val="0"/>
          <w:marRight w:val="0"/>
          <w:marTop w:val="0"/>
          <w:marBottom w:val="0"/>
          <w:divBdr>
            <w:top w:val="none" w:sz="0" w:space="0" w:color="auto"/>
            <w:left w:val="none" w:sz="0" w:space="0" w:color="auto"/>
            <w:bottom w:val="none" w:sz="0" w:space="0" w:color="auto"/>
            <w:right w:val="none" w:sz="0" w:space="0" w:color="auto"/>
          </w:divBdr>
          <w:divsChild>
            <w:div w:id="1418285534">
              <w:marLeft w:val="0"/>
              <w:marRight w:val="0"/>
              <w:marTop w:val="0"/>
              <w:marBottom w:val="0"/>
              <w:divBdr>
                <w:top w:val="none" w:sz="0" w:space="0" w:color="auto"/>
                <w:left w:val="none" w:sz="0" w:space="0" w:color="auto"/>
                <w:bottom w:val="none" w:sz="0" w:space="0" w:color="auto"/>
                <w:right w:val="none" w:sz="0" w:space="0" w:color="auto"/>
              </w:divBdr>
              <w:divsChild>
                <w:div w:id="601258281">
                  <w:marLeft w:val="0"/>
                  <w:marRight w:val="0"/>
                  <w:marTop w:val="0"/>
                  <w:marBottom w:val="0"/>
                  <w:divBdr>
                    <w:top w:val="none" w:sz="0" w:space="0" w:color="auto"/>
                    <w:left w:val="none" w:sz="0" w:space="0" w:color="auto"/>
                    <w:bottom w:val="none" w:sz="0" w:space="0" w:color="auto"/>
                    <w:right w:val="none" w:sz="0" w:space="0" w:color="auto"/>
                  </w:divBdr>
                  <w:divsChild>
                    <w:div w:id="1937900845">
                      <w:marLeft w:val="0"/>
                      <w:marRight w:val="0"/>
                      <w:marTop w:val="0"/>
                      <w:marBottom w:val="0"/>
                      <w:divBdr>
                        <w:top w:val="none" w:sz="0" w:space="0" w:color="auto"/>
                        <w:left w:val="none" w:sz="0" w:space="0" w:color="auto"/>
                        <w:bottom w:val="none" w:sz="0" w:space="0" w:color="auto"/>
                        <w:right w:val="none" w:sz="0" w:space="0" w:color="auto"/>
                      </w:divBdr>
                      <w:divsChild>
                        <w:div w:id="34911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083029">
          <w:marLeft w:val="0"/>
          <w:marRight w:val="0"/>
          <w:marTop w:val="0"/>
          <w:marBottom w:val="0"/>
          <w:divBdr>
            <w:top w:val="none" w:sz="0" w:space="0" w:color="auto"/>
            <w:left w:val="none" w:sz="0" w:space="0" w:color="auto"/>
            <w:bottom w:val="none" w:sz="0" w:space="0" w:color="auto"/>
            <w:right w:val="none" w:sz="0" w:space="0" w:color="auto"/>
          </w:divBdr>
          <w:divsChild>
            <w:div w:id="32120966">
              <w:marLeft w:val="0"/>
              <w:marRight w:val="0"/>
              <w:marTop w:val="0"/>
              <w:marBottom w:val="0"/>
              <w:divBdr>
                <w:top w:val="none" w:sz="0" w:space="0" w:color="auto"/>
                <w:left w:val="none" w:sz="0" w:space="0" w:color="auto"/>
                <w:bottom w:val="none" w:sz="0" w:space="0" w:color="auto"/>
                <w:right w:val="none" w:sz="0" w:space="0" w:color="auto"/>
              </w:divBdr>
            </w:div>
            <w:div w:id="97681386">
              <w:marLeft w:val="0"/>
              <w:marRight w:val="0"/>
              <w:marTop w:val="0"/>
              <w:marBottom w:val="0"/>
              <w:divBdr>
                <w:top w:val="none" w:sz="0" w:space="0" w:color="auto"/>
                <w:left w:val="none" w:sz="0" w:space="0" w:color="auto"/>
                <w:bottom w:val="none" w:sz="0" w:space="0" w:color="auto"/>
                <w:right w:val="none" w:sz="0" w:space="0" w:color="auto"/>
              </w:divBdr>
              <w:divsChild>
                <w:div w:id="453061732">
                  <w:marLeft w:val="0"/>
                  <w:marRight w:val="0"/>
                  <w:marTop w:val="0"/>
                  <w:marBottom w:val="0"/>
                  <w:divBdr>
                    <w:top w:val="none" w:sz="0" w:space="0" w:color="auto"/>
                    <w:left w:val="none" w:sz="0" w:space="0" w:color="auto"/>
                    <w:bottom w:val="none" w:sz="0" w:space="0" w:color="auto"/>
                    <w:right w:val="none" w:sz="0" w:space="0" w:color="auto"/>
                  </w:divBdr>
                  <w:divsChild>
                    <w:div w:id="142938764">
                      <w:marLeft w:val="0"/>
                      <w:marRight w:val="0"/>
                      <w:marTop w:val="0"/>
                      <w:marBottom w:val="0"/>
                      <w:divBdr>
                        <w:top w:val="none" w:sz="0" w:space="0" w:color="auto"/>
                        <w:left w:val="none" w:sz="0" w:space="0" w:color="auto"/>
                        <w:bottom w:val="none" w:sz="0" w:space="0" w:color="auto"/>
                        <w:right w:val="none" w:sz="0" w:space="0" w:color="auto"/>
                      </w:divBdr>
                      <w:divsChild>
                        <w:div w:id="105350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458874">
                  <w:marLeft w:val="0"/>
                  <w:marRight w:val="0"/>
                  <w:marTop w:val="0"/>
                  <w:marBottom w:val="0"/>
                  <w:divBdr>
                    <w:top w:val="none" w:sz="0" w:space="0" w:color="auto"/>
                    <w:left w:val="none" w:sz="0" w:space="0" w:color="auto"/>
                    <w:bottom w:val="none" w:sz="0" w:space="0" w:color="auto"/>
                    <w:right w:val="none" w:sz="0" w:space="0" w:color="auto"/>
                  </w:divBdr>
                  <w:divsChild>
                    <w:div w:id="1836725736">
                      <w:marLeft w:val="0"/>
                      <w:marRight w:val="0"/>
                      <w:marTop w:val="0"/>
                      <w:marBottom w:val="0"/>
                      <w:divBdr>
                        <w:top w:val="none" w:sz="0" w:space="0" w:color="auto"/>
                        <w:left w:val="none" w:sz="0" w:space="0" w:color="auto"/>
                        <w:bottom w:val="none" w:sz="0" w:space="0" w:color="auto"/>
                        <w:right w:val="none" w:sz="0" w:space="0" w:color="auto"/>
                      </w:divBdr>
                      <w:divsChild>
                        <w:div w:id="53701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889811">
                  <w:marLeft w:val="0"/>
                  <w:marRight w:val="0"/>
                  <w:marTop w:val="0"/>
                  <w:marBottom w:val="0"/>
                  <w:divBdr>
                    <w:top w:val="none" w:sz="0" w:space="0" w:color="auto"/>
                    <w:left w:val="none" w:sz="0" w:space="0" w:color="auto"/>
                    <w:bottom w:val="none" w:sz="0" w:space="0" w:color="auto"/>
                    <w:right w:val="none" w:sz="0" w:space="0" w:color="auto"/>
                  </w:divBdr>
                  <w:divsChild>
                    <w:div w:id="1050497793">
                      <w:marLeft w:val="0"/>
                      <w:marRight w:val="0"/>
                      <w:marTop w:val="0"/>
                      <w:marBottom w:val="0"/>
                      <w:divBdr>
                        <w:top w:val="none" w:sz="0" w:space="0" w:color="auto"/>
                        <w:left w:val="none" w:sz="0" w:space="0" w:color="auto"/>
                        <w:bottom w:val="none" w:sz="0" w:space="0" w:color="auto"/>
                        <w:right w:val="none" w:sz="0" w:space="0" w:color="auto"/>
                      </w:divBdr>
                      <w:divsChild>
                        <w:div w:id="87827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32417">
                  <w:marLeft w:val="0"/>
                  <w:marRight w:val="0"/>
                  <w:marTop w:val="0"/>
                  <w:marBottom w:val="0"/>
                  <w:divBdr>
                    <w:top w:val="none" w:sz="0" w:space="0" w:color="auto"/>
                    <w:left w:val="none" w:sz="0" w:space="0" w:color="auto"/>
                    <w:bottom w:val="none" w:sz="0" w:space="0" w:color="auto"/>
                    <w:right w:val="none" w:sz="0" w:space="0" w:color="auto"/>
                  </w:divBdr>
                  <w:divsChild>
                    <w:div w:id="721096748">
                      <w:marLeft w:val="0"/>
                      <w:marRight w:val="0"/>
                      <w:marTop w:val="0"/>
                      <w:marBottom w:val="0"/>
                      <w:divBdr>
                        <w:top w:val="none" w:sz="0" w:space="0" w:color="auto"/>
                        <w:left w:val="none" w:sz="0" w:space="0" w:color="auto"/>
                        <w:bottom w:val="none" w:sz="0" w:space="0" w:color="auto"/>
                        <w:right w:val="none" w:sz="0" w:space="0" w:color="auto"/>
                      </w:divBdr>
                      <w:divsChild>
                        <w:div w:id="174399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649119">
              <w:marLeft w:val="0"/>
              <w:marRight w:val="0"/>
              <w:marTop w:val="0"/>
              <w:marBottom w:val="0"/>
              <w:divBdr>
                <w:top w:val="none" w:sz="0" w:space="0" w:color="auto"/>
                <w:left w:val="none" w:sz="0" w:space="0" w:color="auto"/>
                <w:bottom w:val="none" w:sz="0" w:space="0" w:color="auto"/>
                <w:right w:val="none" w:sz="0" w:space="0" w:color="auto"/>
              </w:divBdr>
            </w:div>
          </w:divsChild>
        </w:div>
        <w:div w:id="326134723">
          <w:marLeft w:val="0"/>
          <w:marRight w:val="0"/>
          <w:marTop w:val="0"/>
          <w:marBottom w:val="0"/>
          <w:divBdr>
            <w:top w:val="none" w:sz="0" w:space="0" w:color="auto"/>
            <w:left w:val="none" w:sz="0" w:space="0" w:color="auto"/>
            <w:bottom w:val="none" w:sz="0" w:space="0" w:color="auto"/>
            <w:right w:val="none" w:sz="0" w:space="0" w:color="auto"/>
          </w:divBdr>
          <w:divsChild>
            <w:div w:id="1969623195">
              <w:marLeft w:val="0"/>
              <w:marRight w:val="0"/>
              <w:marTop w:val="0"/>
              <w:marBottom w:val="0"/>
              <w:divBdr>
                <w:top w:val="none" w:sz="0" w:space="0" w:color="auto"/>
                <w:left w:val="none" w:sz="0" w:space="0" w:color="auto"/>
                <w:bottom w:val="none" w:sz="0" w:space="0" w:color="auto"/>
                <w:right w:val="none" w:sz="0" w:space="0" w:color="auto"/>
              </w:divBdr>
              <w:divsChild>
                <w:div w:id="15553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680704">
          <w:marLeft w:val="0"/>
          <w:marRight w:val="0"/>
          <w:marTop w:val="0"/>
          <w:marBottom w:val="0"/>
          <w:divBdr>
            <w:top w:val="none" w:sz="0" w:space="0" w:color="auto"/>
            <w:left w:val="none" w:sz="0" w:space="0" w:color="auto"/>
            <w:bottom w:val="none" w:sz="0" w:space="0" w:color="auto"/>
            <w:right w:val="none" w:sz="0" w:space="0" w:color="auto"/>
          </w:divBdr>
        </w:div>
        <w:div w:id="1926069437">
          <w:marLeft w:val="0"/>
          <w:marRight w:val="0"/>
          <w:marTop w:val="0"/>
          <w:marBottom w:val="0"/>
          <w:divBdr>
            <w:top w:val="none" w:sz="0" w:space="0" w:color="auto"/>
            <w:left w:val="none" w:sz="0" w:space="0" w:color="auto"/>
            <w:bottom w:val="none" w:sz="0" w:space="0" w:color="auto"/>
            <w:right w:val="none" w:sz="0" w:space="0" w:color="auto"/>
          </w:divBdr>
          <w:divsChild>
            <w:div w:id="2014333253">
              <w:marLeft w:val="0"/>
              <w:marRight w:val="0"/>
              <w:marTop w:val="0"/>
              <w:marBottom w:val="0"/>
              <w:divBdr>
                <w:top w:val="none" w:sz="0" w:space="0" w:color="auto"/>
                <w:left w:val="none" w:sz="0" w:space="0" w:color="auto"/>
                <w:bottom w:val="none" w:sz="0" w:space="0" w:color="auto"/>
                <w:right w:val="none" w:sz="0" w:space="0" w:color="auto"/>
              </w:divBdr>
              <w:divsChild>
                <w:div w:id="146940031">
                  <w:marLeft w:val="0"/>
                  <w:marRight w:val="0"/>
                  <w:marTop w:val="0"/>
                  <w:marBottom w:val="0"/>
                  <w:divBdr>
                    <w:top w:val="none" w:sz="0" w:space="0" w:color="auto"/>
                    <w:left w:val="none" w:sz="0" w:space="0" w:color="auto"/>
                    <w:bottom w:val="none" w:sz="0" w:space="0" w:color="auto"/>
                    <w:right w:val="none" w:sz="0" w:space="0" w:color="auto"/>
                  </w:divBdr>
                  <w:divsChild>
                    <w:div w:id="1145122940">
                      <w:marLeft w:val="0"/>
                      <w:marRight w:val="0"/>
                      <w:marTop w:val="0"/>
                      <w:marBottom w:val="0"/>
                      <w:divBdr>
                        <w:top w:val="none" w:sz="0" w:space="0" w:color="auto"/>
                        <w:left w:val="none" w:sz="0" w:space="0" w:color="auto"/>
                        <w:bottom w:val="none" w:sz="0" w:space="0" w:color="auto"/>
                        <w:right w:val="none" w:sz="0" w:space="0" w:color="auto"/>
                      </w:divBdr>
                      <w:divsChild>
                        <w:div w:id="153769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200407">
                  <w:marLeft w:val="0"/>
                  <w:marRight w:val="0"/>
                  <w:marTop w:val="0"/>
                  <w:marBottom w:val="0"/>
                  <w:divBdr>
                    <w:top w:val="none" w:sz="0" w:space="0" w:color="auto"/>
                    <w:left w:val="none" w:sz="0" w:space="0" w:color="auto"/>
                    <w:bottom w:val="none" w:sz="0" w:space="0" w:color="auto"/>
                    <w:right w:val="none" w:sz="0" w:space="0" w:color="auto"/>
                  </w:divBdr>
                  <w:divsChild>
                    <w:div w:id="848175218">
                      <w:marLeft w:val="0"/>
                      <w:marRight w:val="0"/>
                      <w:marTop w:val="0"/>
                      <w:marBottom w:val="0"/>
                      <w:divBdr>
                        <w:top w:val="none" w:sz="0" w:space="0" w:color="auto"/>
                        <w:left w:val="none" w:sz="0" w:space="0" w:color="auto"/>
                        <w:bottom w:val="none" w:sz="0" w:space="0" w:color="auto"/>
                        <w:right w:val="none" w:sz="0" w:space="0" w:color="auto"/>
                      </w:divBdr>
                    </w:div>
                    <w:div w:id="840125504">
                      <w:marLeft w:val="0"/>
                      <w:marRight w:val="0"/>
                      <w:marTop w:val="0"/>
                      <w:marBottom w:val="0"/>
                      <w:divBdr>
                        <w:top w:val="none" w:sz="0" w:space="0" w:color="auto"/>
                        <w:left w:val="none" w:sz="0" w:space="0" w:color="auto"/>
                        <w:bottom w:val="none" w:sz="0" w:space="0" w:color="auto"/>
                        <w:right w:val="none" w:sz="0" w:space="0" w:color="auto"/>
                      </w:divBdr>
                      <w:divsChild>
                        <w:div w:id="1823497941">
                          <w:marLeft w:val="0"/>
                          <w:marRight w:val="0"/>
                          <w:marTop w:val="0"/>
                          <w:marBottom w:val="0"/>
                          <w:divBdr>
                            <w:top w:val="none" w:sz="0" w:space="0" w:color="auto"/>
                            <w:left w:val="none" w:sz="0" w:space="0" w:color="auto"/>
                            <w:bottom w:val="none" w:sz="0" w:space="0" w:color="auto"/>
                            <w:right w:val="none" w:sz="0" w:space="0" w:color="auto"/>
                          </w:divBdr>
                          <w:divsChild>
                            <w:div w:id="1769692226">
                              <w:marLeft w:val="0"/>
                              <w:marRight w:val="0"/>
                              <w:marTop w:val="0"/>
                              <w:marBottom w:val="0"/>
                              <w:divBdr>
                                <w:top w:val="none" w:sz="0" w:space="0" w:color="auto"/>
                                <w:left w:val="none" w:sz="0" w:space="0" w:color="auto"/>
                                <w:bottom w:val="none" w:sz="0" w:space="0" w:color="auto"/>
                                <w:right w:val="none" w:sz="0" w:space="0" w:color="auto"/>
                              </w:divBdr>
                              <w:divsChild>
                                <w:div w:id="133321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174770">
                      <w:marLeft w:val="0"/>
                      <w:marRight w:val="0"/>
                      <w:marTop w:val="0"/>
                      <w:marBottom w:val="0"/>
                      <w:divBdr>
                        <w:top w:val="none" w:sz="0" w:space="0" w:color="auto"/>
                        <w:left w:val="none" w:sz="0" w:space="0" w:color="auto"/>
                        <w:bottom w:val="none" w:sz="0" w:space="0" w:color="auto"/>
                        <w:right w:val="none" w:sz="0" w:space="0" w:color="auto"/>
                      </w:divBdr>
                    </w:div>
                  </w:divsChild>
                </w:div>
                <w:div w:id="795178130">
                  <w:marLeft w:val="0"/>
                  <w:marRight w:val="0"/>
                  <w:marTop w:val="0"/>
                  <w:marBottom w:val="0"/>
                  <w:divBdr>
                    <w:top w:val="none" w:sz="0" w:space="0" w:color="auto"/>
                    <w:left w:val="none" w:sz="0" w:space="0" w:color="auto"/>
                    <w:bottom w:val="none" w:sz="0" w:space="0" w:color="auto"/>
                    <w:right w:val="none" w:sz="0" w:space="0" w:color="auto"/>
                  </w:divBdr>
                  <w:divsChild>
                    <w:div w:id="420179413">
                      <w:marLeft w:val="0"/>
                      <w:marRight w:val="0"/>
                      <w:marTop w:val="0"/>
                      <w:marBottom w:val="0"/>
                      <w:divBdr>
                        <w:top w:val="none" w:sz="0" w:space="0" w:color="auto"/>
                        <w:left w:val="none" w:sz="0" w:space="0" w:color="auto"/>
                        <w:bottom w:val="none" w:sz="0" w:space="0" w:color="auto"/>
                        <w:right w:val="none" w:sz="0" w:space="0" w:color="auto"/>
                      </w:divBdr>
                      <w:divsChild>
                        <w:div w:id="56953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852168">
                  <w:marLeft w:val="0"/>
                  <w:marRight w:val="0"/>
                  <w:marTop w:val="0"/>
                  <w:marBottom w:val="0"/>
                  <w:divBdr>
                    <w:top w:val="none" w:sz="0" w:space="0" w:color="auto"/>
                    <w:left w:val="none" w:sz="0" w:space="0" w:color="auto"/>
                    <w:bottom w:val="none" w:sz="0" w:space="0" w:color="auto"/>
                    <w:right w:val="none" w:sz="0" w:space="0" w:color="auto"/>
                  </w:divBdr>
                </w:div>
                <w:div w:id="2094928380">
                  <w:marLeft w:val="0"/>
                  <w:marRight w:val="0"/>
                  <w:marTop w:val="0"/>
                  <w:marBottom w:val="0"/>
                  <w:divBdr>
                    <w:top w:val="none" w:sz="0" w:space="0" w:color="auto"/>
                    <w:left w:val="none" w:sz="0" w:space="0" w:color="auto"/>
                    <w:bottom w:val="none" w:sz="0" w:space="0" w:color="auto"/>
                    <w:right w:val="none" w:sz="0" w:space="0" w:color="auto"/>
                  </w:divBdr>
                  <w:divsChild>
                    <w:div w:id="1350722670">
                      <w:marLeft w:val="0"/>
                      <w:marRight w:val="0"/>
                      <w:marTop w:val="0"/>
                      <w:marBottom w:val="0"/>
                      <w:divBdr>
                        <w:top w:val="none" w:sz="0" w:space="0" w:color="auto"/>
                        <w:left w:val="none" w:sz="0" w:space="0" w:color="auto"/>
                        <w:bottom w:val="none" w:sz="0" w:space="0" w:color="auto"/>
                        <w:right w:val="none" w:sz="0" w:space="0" w:color="auto"/>
                      </w:divBdr>
                      <w:divsChild>
                        <w:div w:id="1366368238">
                          <w:marLeft w:val="0"/>
                          <w:marRight w:val="0"/>
                          <w:marTop w:val="0"/>
                          <w:marBottom w:val="0"/>
                          <w:divBdr>
                            <w:top w:val="none" w:sz="0" w:space="0" w:color="auto"/>
                            <w:left w:val="none" w:sz="0" w:space="0" w:color="auto"/>
                            <w:bottom w:val="none" w:sz="0" w:space="0" w:color="auto"/>
                            <w:right w:val="none" w:sz="0" w:space="0" w:color="auto"/>
                          </w:divBdr>
                          <w:divsChild>
                            <w:div w:id="378869717">
                              <w:marLeft w:val="0"/>
                              <w:marRight w:val="0"/>
                              <w:marTop w:val="0"/>
                              <w:marBottom w:val="0"/>
                              <w:divBdr>
                                <w:top w:val="none" w:sz="0" w:space="0" w:color="auto"/>
                                <w:left w:val="none" w:sz="0" w:space="0" w:color="auto"/>
                                <w:bottom w:val="none" w:sz="0" w:space="0" w:color="auto"/>
                                <w:right w:val="none" w:sz="0" w:space="0" w:color="auto"/>
                              </w:divBdr>
                              <w:divsChild>
                                <w:div w:id="40954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0859">
                          <w:marLeft w:val="0"/>
                          <w:marRight w:val="0"/>
                          <w:marTop w:val="0"/>
                          <w:marBottom w:val="0"/>
                          <w:divBdr>
                            <w:top w:val="none" w:sz="0" w:space="0" w:color="auto"/>
                            <w:left w:val="none" w:sz="0" w:space="0" w:color="auto"/>
                            <w:bottom w:val="none" w:sz="0" w:space="0" w:color="auto"/>
                            <w:right w:val="none" w:sz="0" w:space="0" w:color="auto"/>
                          </w:divBdr>
                          <w:divsChild>
                            <w:div w:id="1823543945">
                              <w:marLeft w:val="0"/>
                              <w:marRight w:val="0"/>
                              <w:marTop w:val="0"/>
                              <w:marBottom w:val="0"/>
                              <w:divBdr>
                                <w:top w:val="none" w:sz="0" w:space="0" w:color="auto"/>
                                <w:left w:val="none" w:sz="0" w:space="0" w:color="auto"/>
                                <w:bottom w:val="none" w:sz="0" w:space="0" w:color="auto"/>
                                <w:right w:val="none" w:sz="0" w:space="0" w:color="auto"/>
                              </w:divBdr>
                            </w:div>
                            <w:div w:id="54356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1397080">
      <w:marLeft w:val="0"/>
      <w:marRight w:val="0"/>
      <w:marTop w:val="0"/>
      <w:marBottom w:val="0"/>
      <w:divBdr>
        <w:top w:val="none" w:sz="0" w:space="0" w:color="auto"/>
        <w:left w:val="none" w:sz="0" w:space="0" w:color="auto"/>
        <w:bottom w:val="none" w:sz="0" w:space="0" w:color="auto"/>
        <w:right w:val="none" w:sz="0" w:space="0" w:color="auto"/>
      </w:divBdr>
      <w:divsChild>
        <w:div w:id="287900632">
          <w:marLeft w:val="0"/>
          <w:marRight w:val="0"/>
          <w:marTop w:val="0"/>
          <w:marBottom w:val="0"/>
          <w:divBdr>
            <w:top w:val="none" w:sz="0" w:space="0" w:color="auto"/>
            <w:left w:val="none" w:sz="0" w:space="0" w:color="auto"/>
            <w:bottom w:val="none" w:sz="0" w:space="0" w:color="auto"/>
            <w:right w:val="none" w:sz="0" w:space="0" w:color="auto"/>
          </w:divBdr>
          <w:divsChild>
            <w:div w:id="135387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623037">
      <w:marLeft w:val="0"/>
      <w:marRight w:val="0"/>
      <w:marTop w:val="0"/>
      <w:marBottom w:val="0"/>
      <w:divBdr>
        <w:top w:val="none" w:sz="0" w:space="0" w:color="auto"/>
        <w:left w:val="none" w:sz="0" w:space="0" w:color="auto"/>
        <w:bottom w:val="none" w:sz="0" w:space="0" w:color="auto"/>
        <w:right w:val="none" w:sz="0" w:space="0" w:color="auto"/>
      </w:divBdr>
      <w:divsChild>
        <w:div w:id="2043431875">
          <w:marLeft w:val="0"/>
          <w:marRight w:val="0"/>
          <w:marTop w:val="0"/>
          <w:marBottom w:val="0"/>
          <w:divBdr>
            <w:top w:val="none" w:sz="0" w:space="0" w:color="auto"/>
            <w:left w:val="none" w:sz="0" w:space="0" w:color="auto"/>
            <w:bottom w:val="none" w:sz="0" w:space="0" w:color="auto"/>
            <w:right w:val="none" w:sz="0" w:space="0" w:color="auto"/>
          </w:divBdr>
        </w:div>
      </w:divsChild>
    </w:div>
    <w:div w:id="649334613">
      <w:marLeft w:val="0"/>
      <w:marRight w:val="0"/>
      <w:marTop w:val="0"/>
      <w:marBottom w:val="0"/>
      <w:divBdr>
        <w:top w:val="none" w:sz="0" w:space="0" w:color="auto"/>
        <w:left w:val="none" w:sz="0" w:space="0" w:color="auto"/>
        <w:bottom w:val="none" w:sz="0" w:space="0" w:color="auto"/>
        <w:right w:val="none" w:sz="0" w:space="0" w:color="auto"/>
      </w:divBdr>
      <w:divsChild>
        <w:div w:id="1955599192">
          <w:marLeft w:val="0"/>
          <w:marRight w:val="0"/>
          <w:marTop w:val="0"/>
          <w:marBottom w:val="0"/>
          <w:divBdr>
            <w:top w:val="none" w:sz="0" w:space="0" w:color="auto"/>
            <w:left w:val="none" w:sz="0" w:space="0" w:color="auto"/>
            <w:bottom w:val="none" w:sz="0" w:space="0" w:color="auto"/>
            <w:right w:val="none" w:sz="0" w:space="0" w:color="auto"/>
          </w:divBdr>
        </w:div>
      </w:divsChild>
    </w:div>
    <w:div w:id="1033000170">
      <w:marLeft w:val="0"/>
      <w:marRight w:val="0"/>
      <w:marTop w:val="0"/>
      <w:marBottom w:val="0"/>
      <w:divBdr>
        <w:top w:val="none" w:sz="0" w:space="0" w:color="auto"/>
        <w:left w:val="none" w:sz="0" w:space="0" w:color="auto"/>
        <w:bottom w:val="none" w:sz="0" w:space="0" w:color="auto"/>
        <w:right w:val="none" w:sz="0" w:space="0" w:color="auto"/>
      </w:divBdr>
      <w:divsChild>
        <w:div w:id="168302792">
          <w:marLeft w:val="0"/>
          <w:marRight w:val="0"/>
          <w:marTop w:val="0"/>
          <w:marBottom w:val="0"/>
          <w:divBdr>
            <w:top w:val="none" w:sz="0" w:space="0" w:color="auto"/>
            <w:left w:val="none" w:sz="0" w:space="0" w:color="auto"/>
            <w:bottom w:val="none" w:sz="0" w:space="0" w:color="auto"/>
            <w:right w:val="none" w:sz="0" w:space="0" w:color="auto"/>
          </w:divBdr>
        </w:div>
      </w:divsChild>
    </w:div>
    <w:div w:id="1123690369">
      <w:marLeft w:val="0"/>
      <w:marRight w:val="0"/>
      <w:marTop w:val="0"/>
      <w:marBottom w:val="0"/>
      <w:divBdr>
        <w:top w:val="none" w:sz="0" w:space="0" w:color="auto"/>
        <w:left w:val="none" w:sz="0" w:space="0" w:color="auto"/>
        <w:bottom w:val="none" w:sz="0" w:space="0" w:color="auto"/>
        <w:right w:val="none" w:sz="0" w:space="0" w:color="auto"/>
      </w:divBdr>
      <w:divsChild>
        <w:div w:id="1129401548">
          <w:marLeft w:val="0"/>
          <w:marRight w:val="0"/>
          <w:marTop w:val="0"/>
          <w:marBottom w:val="0"/>
          <w:divBdr>
            <w:top w:val="none" w:sz="0" w:space="0" w:color="auto"/>
            <w:left w:val="none" w:sz="0" w:space="0" w:color="auto"/>
            <w:bottom w:val="none" w:sz="0" w:space="0" w:color="auto"/>
            <w:right w:val="none" w:sz="0" w:space="0" w:color="auto"/>
          </w:divBdr>
        </w:div>
      </w:divsChild>
    </w:div>
    <w:div w:id="1653099056">
      <w:marLeft w:val="0"/>
      <w:marRight w:val="0"/>
      <w:marTop w:val="0"/>
      <w:marBottom w:val="0"/>
      <w:divBdr>
        <w:top w:val="none" w:sz="0" w:space="0" w:color="auto"/>
        <w:left w:val="none" w:sz="0" w:space="0" w:color="auto"/>
        <w:bottom w:val="none" w:sz="0" w:space="0" w:color="auto"/>
        <w:right w:val="none" w:sz="0" w:space="0" w:color="auto"/>
      </w:divBdr>
      <w:divsChild>
        <w:div w:id="423037281">
          <w:marLeft w:val="0"/>
          <w:marRight w:val="0"/>
          <w:marTop w:val="0"/>
          <w:marBottom w:val="0"/>
          <w:divBdr>
            <w:top w:val="none" w:sz="0" w:space="0" w:color="auto"/>
            <w:left w:val="none" w:sz="0" w:space="0" w:color="auto"/>
            <w:bottom w:val="none" w:sz="0" w:space="0" w:color="auto"/>
            <w:right w:val="none" w:sz="0" w:space="0" w:color="auto"/>
          </w:divBdr>
          <w:divsChild>
            <w:div w:id="199275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376815">
      <w:marLeft w:val="0"/>
      <w:marRight w:val="0"/>
      <w:marTop w:val="0"/>
      <w:marBottom w:val="0"/>
      <w:divBdr>
        <w:top w:val="none" w:sz="0" w:space="0" w:color="auto"/>
        <w:left w:val="none" w:sz="0" w:space="0" w:color="auto"/>
        <w:bottom w:val="none" w:sz="0" w:space="0" w:color="auto"/>
        <w:right w:val="none" w:sz="0" w:space="0" w:color="auto"/>
      </w:divBdr>
      <w:divsChild>
        <w:div w:id="1023939942">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B0550 - Georgia - Tbilisi</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 IS XII - 2025</FileNameDescription>
    <ProjectNumber xmlns="d9cf0e28-81d2-4dc7-8b10-820d80ed680d">01001431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UNDP-GEO</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316077E6-4DF1-4C5E-8E8D-C20E6E13E1FA}"/>
</file>

<file path=customXml/itemProps2.xml><?xml version="1.0" encoding="utf-8"?>
<ds:datastoreItem xmlns:ds="http://schemas.openxmlformats.org/officeDocument/2006/customXml" ds:itemID="{917BC096-8F78-4DF9-BEE2-FCD4F8EB8A3A}"/>
</file>

<file path=customXml/itemProps3.xml><?xml version="1.0" encoding="utf-8"?>
<ds:datastoreItem xmlns:ds="http://schemas.openxmlformats.org/officeDocument/2006/customXml" ds:itemID="{C2E912F3-9EE2-4161-BB31-86D1663FE11E}"/>
</file>

<file path=docProps/app.xml><?xml version="1.0" encoding="utf-8"?>
<Properties xmlns="http://schemas.openxmlformats.org/officeDocument/2006/extended-properties" xmlns:vt="http://schemas.openxmlformats.org/officeDocument/2006/docPropsVTypes">
  <Template>Normal</Template>
  <TotalTime>6</TotalTime>
  <Pages>4</Pages>
  <Words>728</Words>
  <Characters>4153</Characters>
  <Application>Microsoft Office Word</Application>
  <DocSecurity>0</DocSecurity>
  <Lines>34</Lines>
  <Paragraphs>9</Paragraphs>
  <ScaleCrop>false</ScaleCrop>
  <Company>United Nations Development Programme</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IS XII - 2025</dc:title>
  <dc:subject/>
  <dc:creator>Lali Tevzadze</dc:creator>
  <cp:keywords/>
  <dc:description/>
  <cp:lastModifiedBy>Lali Tevzadze</cp:lastModifiedBy>
  <cp:revision>7</cp:revision>
  <dcterms:created xsi:type="dcterms:W3CDTF">2026-06-22T14:05:00Z</dcterms:created>
  <dcterms:modified xsi:type="dcterms:W3CDTF">2026-06-22T14:09:00Z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